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>В России упрощается порядок проведения комплексных кадастровых работ</w:t>
      </w:r>
    </w:p>
    <w:bookmarkEnd w:id="0"/>
    <w:p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Россияне могут узаконить земли, используемые более 15 лет </w:t>
      </w:r>
    </w:p>
    <w:p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 xml:space="preserve">16 сентября вступают в силу </w:t>
      </w:r>
      <w:r>
        <w:fldChar w:fldCharType="begin"/>
      </w:r>
      <w:r>
        <w:instrText xml:space="preserve"> HYPERLINK "http://www.consultant.ru/document/cons_doc_LAW_326894/" </w:instrText>
      </w:r>
      <w:r>
        <w:fldChar w:fldCharType="separate"/>
      </w:r>
      <w:r>
        <w:rPr>
          <w:rStyle w:val="10"/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>изменения в законы</w:t>
      </w:r>
      <w:r>
        <w:rPr>
          <w:rStyle w:val="10"/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 xml:space="preserve"> «О кадастровой деятельности» и «О государственной регистрации недвижимости». Поправки упростят процедуру проведения комплексных кадастровых работ,  устанавливает порядок уточнения границ земельных участков, фактическая площадь которых не соответствует площади, указанной в государственном реестре недвижимости. </w:t>
      </w:r>
    </w:p>
    <w:p>
      <w:pPr>
        <w:spacing w:after="20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Сбор и анализ данных в ходе комплексных кадастровых работ позволяют выявить и устранить случаи пересечения границ и самозахвата земель, а также реестровые ошибки. Последнее – наиболее распространенная причина, по которой владельцы не могут поставить на кадастровый учет личные участки и земли общего пользования в соответствии с законодательством. По мнению специалистов кадастровой палаты по Удмуртской Республике, упрощение процедуры проведения комплексных кадастровых работ в целом благотворно скажется на положении собственников земельных участков. </w:t>
      </w:r>
    </w:p>
    <w:p>
      <w:pPr>
        <w:spacing w:after="20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Так, одно из положений предоставляет возможность гражданам узаконить в рамках проведения комплексных кадастровых работ фактически используемые земельные участки, если их площадь превышает площадь, указанную в документах. Важно отметить, что узаконить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</w:t>
      </w:r>
    </w:p>
    <w:p>
      <w:pPr>
        <w:spacing w:after="200" w:line="240" w:lineRule="auto"/>
        <w:ind w:firstLine="540"/>
        <w:jc w:val="both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>«</w:t>
      </w:r>
      <w:r>
        <w:rPr>
          <w:rFonts w:ascii="Times New Roman" w:hAnsi="Times New Roman" w:eastAsia="Times New Roman" w:cs="Times New Roman"/>
          <w:bCs/>
          <w:i/>
          <w:sz w:val="26"/>
          <w:szCs w:val="26"/>
          <w:lang w:eastAsia="ru-RU"/>
        </w:rPr>
        <w:t>Если в ходе комплексных кадастровых работ выяснится, что используемая площадь земельного участка больше, при соблюдении всех критериев разницу можно будет узаконить. Но важно – к поправкам нельзя относиться как к возможности быстро увеличить площадь своих земельных участков. Закон направлен на уточнение существующих участков и поддержку собственников, которые на протяжении многих лет использовали земли без уточненных границ</w:t>
      </w: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», – говорит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 xml:space="preserve">замглавы Федеральной кадастровой палаты Марина Семенова. </w:t>
      </w:r>
    </w:p>
    <w:p>
      <w:pPr>
        <w:pStyle w:val="7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«В этом году комплексные кадастровые работы пройдут в четырёх населённых пунктах - Вавоже, Сюмсях, Якшур-Бодье, деревне Удмуртские Парзи </w:t>
      </w:r>
      <w:r>
        <w:fldChar w:fldCharType="begin"/>
      </w:r>
      <w:r>
        <w:instrText xml:space="preserve"> HYPERLINK "http://izvestiaur.ru/search/index.php?tags=Глазов" \o "еще по теме" </w:instrText>
      </w:r>
      <w:r>
        <w:fldChar w:fldCharType="separate"/>
      </w:r>
      <w:r>
        <w:rPr>
          <w:rStyle w:val="10"/>
          <w:i/>
          <w:color w:val="auto"/>
          <w:sz w:val="26"/>
          <w:szCs w:val="26"/>
          <w:u w:val="none"/>
        </w:rPr>
        <w:t>Глазов</w:t>
      </w:r>
      <w:r>
        <w:rPr>
          <w:rStyle w:val="10"/>
          <w:i/>
          <w:color w:val="auto"/>
          <w:sz w:val="26"/>
          <w:szCs w:val="26"/>
          <w:u w:val="none"/>
        </w:rPr>
        <w:fldChar w:fldCharType="end"/>
      </w:r>
      <w:r>
        <w:rPr>
          <w:i/>
          <w:sz w:val="26"/>
          <w:szCs w:val="26"/>
        </w:rPr>
        <w:t xml:space="preserve">ского района, – </w:t>
      </w:r>
      <w:r>
        <w:rPr>
          <w:sz w:val="26"/>
          <w:szCs w:val="26"/>
        </w:rPr>
        <w:t xml:space="preserve">отметила </w:t>
      </w:r>
      <w:r>
        <w:rPr>
          <w:b/>
          <w:sz w:val="26"/>
          <w:szCs w:val="26"/>
        </w:rPr>
        <w:t>заместитель директора филиала кадастровой палаты по Удмуртской Республике Екатерина Рублева.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- Ранее массовое межевание прошло в Увинском районе. По его результатам были уточнены сведения о местоположении 165 объектов недвижимости: были установлены границы 83 земельных участков и уточнено местоположение на земельном участке 82 объектов капитального строительства».</w:t>
      </w:r>
    </w:p>
    <w:p>
      <w:pPr>
        <w:spacing w:after="200" w:line="240" w:lineRule="auto"/>
        <w:ind w:firstLine="540"/>
        <w:jc w:val="both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>Для справки:</w:t>
      </w: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 Комплексные кадастровые работы (ККР) – это кадастровые работы, которые выполняются одновременно в отношении всех расположенных на территории одного или нескольких кадастровых кварталов земельных участков, зданий, сооружений. Такие работы проводятся органами местного самоуправления.</w:t>
      </w:r>
      <w:r>
        <w:rPr>
          <w:rFonts w:ascii="Times New Roman" w:hAnsi="Times New Roman" w:eastAsia="Times New Roman" w:cs="Times New Roman"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>Проведение комплексных кадастровых работ по заказу органов госвласти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</w:t>
      </w:r>
    </w:p>
    <w:p>
      <w:pPr>
        <w:spacing w:after="20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После проведения комплексных кадастровых работ у собственников земельных участков и объектов капитального строительства отпадает необходимость проводить кадастровые работы за свой счет. 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0"/>
          <w:lang w:eastAsia="ru-RU"/>
        </w:rPr>
      </w:pPr>
      <w:r>
        <w:rPr>
          <w:rFonts w:ascii="Times New Roman" w:hAnsi="Times New Roman" w:cs="Times New Roman" w:eastAsiaTheme="minorEastAsia"/>
          <w:sz w:val="20"/>
          <w:lang w:eastAsia="ru-RU"/>
        </w:rPr>
        <w:t>Кадастровая палата по Удмуртской Республике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20"/>
          <w:lang w:eastAsia="ru-RU"/>
        </w:rPr>
      </w:pPr>
      <w:r>
        <w:rPr>
          <w:rFonts w:ascii="Times New Roman" w:hAnsi="Times New Roman" w:cs="Times New Roman" w:eastAsiaTheme="minorEastAsia"/>
          <w:sz w:val="20"/>
          <w:lang w:eastAsia="ru-RU"/>
        </w:rPr>
        <w:t>Тел. +7 9501552356</w:t>
      </w:r>
    </w:p>
    <w:p>
      <w:pPr>
        <w:spacing w:after="20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Latha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Segoe UI">
    <w:altName w:val="Shruti"/>
    <w:panose1 w:val="020B0502040204020203"/>
    <w:charset w:val="CC"/>
    <w:family w:val="swiss"/>
    <w:pitch w:val="default"/>
    <w:sig w:usb0="00000000" w:usb1="00000000" w:usb2="00000029" w:usb3="00000000" w:csb0="000001DF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C"/>
    <w:rsid w:val="00062566"/>
    <w:rsid w:val="000A28D3"/>
    <w:rsid w:val="000C719C"/>
    <w:rsid w:val="001118FB"/>
    <w:rsid w:val="0011393B"/>
    <w:rsid w:val="00117065"/>
    <w:rsid w:val="00193C4E"/>
    <w:rsid w:val="001F4B8D"/>
    <w:rsid w:val="0020024C"/>
    <w:rsid w:val="00261397"/>
    <w:rsid w:val="00287DD1"/>
    <w:rsid w:val="00287EAD"/>
    <w:rsid w:val="002909B9"/>
    <w:rsid w:val="0029500D"/>
    <w:rsid w:val="002C692A"/>
    <w:rsid w:val="002D0397"/>
    <w:rsid w:val="003602DB"/>
    <w:rsid w:val="00372B8C"/>
    <w:rsid w:val="003745ED"/>
    <w:rsid w:val="00382D54"/>
    <w:rsid w:val="003B0DC6"/>
    <w:rsid w:val="003B3088"/>
    <w:rsid w:val="00417DA7"/>
    <w:rsid w:val="00430BB8"/>
    <w:rsid w:val="00432B8F"/>
    <w:rsid w:val="00437602"/>
    <w:rsid w:val="004660F1"/>
    <w:rsid w:val="00490C32"/>
    <w:rsid w:val="004E0B7D"/>
    <w:rsid w:val="00523F9B"/>
    <w:rsid w:val="005255E9"/>
    <w:rsid w:val="00545189"/>
    <w:rsid w:val="005A0931"/>
    <w:rsid w:val="005A22B8"/>
    <w:rsid w:val="005F1582"/>
    <w:rsid w:val="00672F6D"/>
    <w:rsid w:val="00674C22"/>
    <w:rsid w:val="006939DB"/>
    <w:rsid w:val="006A5876"/>
    <w:rsid w:val="006D0593"/>
    <w:rsid w:val="006F1EB2"/>
    <w:rsid w:val="00737703"/>
    <w:rsid w:val="007520CC"/>
    <w:rsid w:val="007918DC"/>
    <w:rsid w:val="007D71C2"/>
    <w:rsid w:val="007E2C67"/>
    <w:rsid w:val="0081490A"/>
    <w:rsid w:val="00845CEA"/>
    <w:rsid w:val="00855030"/>
    <w:rsid w:val="00874573"/>
    <w:rsid w:val="008A46FD"/>
    <w:rsid w:val="009015FD"/>
    <w:rsid w:val="00957B07"/>
    <w:rsid w:val="0096665E"/>
    <w:rsid w:val="00976333"/>
    <w:rsid w:val="009C36AC"/>
    <w:rsid w:val="009D4023"/>
    <w:rsid w:val="009F6362"/>
    <w:rsid w:val="00A171A4"/>
    <w:rsid w:val="00A344D6"/>
    <w:rsid w:val="00A410FF"/>
    <w:rsid w:val="00A81446"/>
    <w:rsid w:val="00AA5AA5"/>
    <w:rsid w:val="00AC7F62"/>
    <w:rsid w:val="00AD04B1"/>
    <w:rsid w:val="00AF3C9A"/>
    <w:rsid w:val="00AF7819"/>
    <w:rsid w:val="00B52411"/>
    <w:rsid w:val="00C81C72"/>
    <w:rsid w:val="00C90528"/>
    <w:rsid w:val="00CA2E34"/>
    <w:rsid w:val="00CD4039"/>
    <w:rsid w:val="00CD42E5"/>
    <w:rsid w:val="00CD5BCE"/>
    <w:rsid w:val="00CE777C"/>
    <w:rsid w:val="00D460C1"/>
    <w:rsid w:val="00E03B75"/>
    <w:rsid w:val="00E47B33"/>
    <w:rsid w:val="00EB0F53"/>
    <w:rsid w:val="00ED30D1"/>
    <w:rsid w:val="00F278BC"/>
    <w:rsid w:val="00F551D9"/>
    <w:rsid w:val="00F7186A"/>
    <w:rsid w:val="00FA1E48"/>
    <w:rsid w:val="76E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5" w:themeColor="accent1" w:themeShade="BF"/>
      <w:sz w:val="32"/>
      <w:szCs w:val="32"/>
    </w:rPr>
  </w:style>
  <w:style w:type="paragraph" w:styleId="3">
    <w:name w:val="heading 2"/>
    <w:basedOn w:val="1"/>
    <w:next w:val="1"/>
    <w:link w:val="1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annotation text"/>
    <w:basedOn w:val="1"/>
    <w:link w:val="1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6">
    <w:name w:val="annotation subject"/>
    <w:basedOn w:val="5"/>
    <w:next w:val="5"/>
    <w:link w:val="16"/>
    <w:semiHidden/>
    <w:unhideWhenUsed/>
    <w:uiPriority w:val="99"/>
    <w:rPr>
      <w:b/>
      <w:bCs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Strong"/>
    <w:basedOn w:val="8"/>
    <w:qFormat/>
    <w:uiPriority w:val="22"/>
    <w:rPr>
      <w:b/>
      <w:bCs/>
    </w:rPr>
  </w:style>
  <w:style w:type="character" w:customStyle="1" w:styleId="13">
    <w:name w:val="teads-ui-components-credits-colored"/>
    <w:basedOn w:val="8"/>
    <w:uiPriority w:val="0"/>
  </w:style>
  <w:style w:type="character" w:customStyle="1" w:styleId="14">
    <w:name w:val="Текст выноски Знак"/>
    <w:basedOn w:val="8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5">
    <w:name w:val="Текст примечания Знак"/>
    <w:basedOn w:val="8"/>
    <w:link w:val="5"/>
    <w:semiHidden/>
    <w:qFormat/>
    <w:uiPriority w:val="99"/>
    <w:rPr>
      <w:sz w:val="20"/>
      <w:szCs w:val="20"/>
    </w:rPr>
  </w:style>
  <w:style w:type="character" w:customStyle="1" w:styleId="16">
    <w:name w:val="Тема примечания Знак"/>
    <w:basedOn w:val="15"/>
    <w:link w:val="6"/>
    <w:semiHidden/>
    <w:uiPriority w:val="99"/>
    <w:rPr>
      <w:b/>
      <w:bCs/>
      <w:sz w:val="20"/>
      <w:szCs w:val="20"/>
    </w:rPr>
  </w:style>
  <w:style w:type="character" w:customStyle="1" w:styleId="17">
    <w:name w:val="Заголовок 2 Знак"/>
    <w:basedOn w:val="8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8">
    <w:name w:val="Заголовок 1 Знак"/>
    <w:basedOn w:val="8"/>
    <w:link w:val="2"/>
    <w:uiPriority w:val="9"/>
    <w:rPr>
      <w:rFonts w:asciiTheme="majorHAnsi" w:hAnsiTheme="majorHAnsi" w:eastAsiaTheme="majorEastAsia" w:cstheme="majorBidi"/>
      <w:color w:val="2E75B5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654193-3ACF-47FA-9692-39431328D6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ФГУ "ЗКП" по УР</Company>
  <Pages>2</Pages>
  <Words>515</Words>
  <Characters>2936</Characters>
  <Lines>24</Lines>
  <Paragraphs>6</Paragraphs>
  <TotalTime>2</TotalTime>
  <ScaleCrop>false</ScaleCrop>
  <LinksUpToDate>false</LinksUpToDate>
  <CharactersWithSpaces>3445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2019-09-17T05:46:00Z</dcterms:created>
  <dc:creator>Игошина Екатерина Викторовна</dc:creator>
  <cp:lastModifiedBy>olimp_geg</cp:lastModifiedBy>
  <cp:lastPrinted>2019-09-12T10:51:00Z</cp:lastPrinted>
  <dcterms:modified xsi:type="dcterms:W3CDTF">2019-09-18T12:02:10Z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